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6F" w:rsidRPr="00A2689D" w:rsidRDefault="009B786F" w:rsidP="00200A03">
      <w:pPr>
        <w:jc w:val="center"/>
        <w:rPr>
          <w:rFonts w:ascii="Arial" w:hAnsi="Arial" w:cs="Arial"/>
          <w:b/>
        </w:rPr>
      </w:pPr>
      <w:r w:rsidRPr="00A2689D">
        <w:rPr>
          <w:rFonts w:ascii="Arial" w:hAnsi="Arial" w:cs="Arial"/>
          <w:b/>
        </w:rPr>
        <w:t>ASME B31.</w:t>
      </w:r>
      <w:r w:rsidR="00F51C3E" w:rsidRPr="00A2689D">
        <w:rPr>
          <w:rFonts w:ascii="Arial" w:hAnsi="Arial" w:cs="Arial"/>
          <w:b/>
        </w:rPr>
        <w:t>1</w:t>
      </w:r>
      <w:r w:rsidRPr="00A2689D">
        <w:rPr>
          <w:rFonts w:ascii="Arial" w:hAnsi="Arial" w:cs="Arial"/>
          <w:b/>
        </w:rPr>
        <w:t xml:space="preserve"> </w:t>
      </w:r>
      <w:r w:rsidR="00A2689D">
        <w:rPr>
          <w:rFonts w:ascii="Arial" w:hAnsi="Arial" w:cs="Arial"/>
          <w:b/>
        </w:rPr>
        <w:t xml:space="preserve">104.7.2 </w:t>
      </w:r>
      <w:r w:rsidR="007A4549" w:rsidRPr="00A2689D">
        <w:rPr>
          <w:rFonts w:ascii="Arial" w:hAnsi="Arial" w:cs="Arial"/>
          <w:b/>
        </w:rPr>
        <w:t xml:space="preserve">Other Unlisted </w:t>
      </w:r>
      <w:r w:rsidR="005B7DE7" w:rsidRPr="00A2689D">
        <w:rPr>
          <w:rFonts w:ascii="Arial" w:hAnsi="Arial" w:cs="Arial"/>
          <w:b/>
        </w:rPr>
        <w:t>Component</w:t>
      </w:r>
      <w:r w:rsidRPr="00A2689D">
        <w:rPr>
          <w:rFonts w:ascii="Arial" w:hAnsi="Arial" w:cs="Arial"/>
          <w:b/>
        </w:rPr>
        <w:t xml:space="preserve"> Evaluation</w:t>
      </w:r>
    </w:p>
    <w:p w:rsidR="007A4549" w:rsidRPr="00A2689D" w:rsidRDefault="007A4549" w:rsidP="007A4549">
      <w:pPr>
        <w:autoSpaceDE w:val="0"/>
        <w:autoSpaceDN w:val="0"/>
        <w:adjustRightInd w:val="0"/>
        <w:spacing w:after="0" w:line="240" w:lineRule="auto"/>
        <w:rPr>
          <w:rFonts w:ascii="Arial" w:hAnsi="Arial" w:cs="Arial"/>
        </w:rPr>
      </w:pPr>
      <w:r w:rsidRPr="00A2689D">
        <w:rPr>
          <w:rFonts w:ascii="Arial" w:hAnsi="Arial" w:cs="Arial"/>
        </w:rPr>
        <w:t xml:space="preserve">Does component </w:t>
      </w:r>
      <w:r w:rsidR="0067676D">
        <w:rPr>
          <w:rFonts w:ascii="Arial" w:hAnsi="Arial" w:cs="Arial"/>
        </w:rPr>
        <w:t xml:space="preserve">specifically </w:t>
      </w:r>
      <w:r w:rsidRPr="00A2689D">
        <w:rPr>
          <w:rFonts w:ascii="Arial" w:hAnsi="Arial" w:cs="Arial"/>
        </w:rPr>
        <w:t xml:space="preserve">fall into the </w:t>
      </w:r>
      <w:r w:rsidR="00F51C3E" w:rsidRPr="00A2689D">
        <w:rPr>
          <w:rFonts w:ascii="Arial" w:hAnsi="Arial" w:cs="Arial"/>
        </w:rPr>
        <w:t>1</w:t>
      </w:r>
      <w:r w:rsidRPr="00A2689D">
        <w:rPr>
          <w:rFonts w:ascii="Arial" w:hAnsi="Arial" w:cs="Arial"/>
        </w:rPr>
        <w:t xml:space="preserve">04.1 </w:t>
      </w:r>
      <w:r w:rsidRPr="00EB062C">
        <w:rPr>
          <w:rFonts w:ascii="Arial" w:hAnsi="Arial" w:cs="Arial"/>
          <w:i/>
        </w:rPr>
        <w:t>Straight Pipe</w:t>
      </w:r>
      <w:r w:rsidRPr="00A2689D">
        <w:rPr>
          <w:rFonts w:ascii="Arial" w:hAnsi="Arial" w:cs="Arial"/>
        </w:rPr>
        <w:t xml:space="preserve">, </w:t>
      </w:r>
      <w:r w:rsidR="00F51C3E" w:rsidRPr="00A2689D">
        <w:rPr>
          <w:rFonts w:ascii="Arial" w:hAnsi="Arial" w:cs="Arial"/>
        </w:rPr>
        <w:t>1</w:t>
      </w:r>
      <w:r w:rsidRPr="00A2689D">
        <w:rPr>
          <w:rFonts w:ascii="Arial" w:hAnsi="Arial" w:cs="Arial"/>
        </w:rPr>
        <w:t xml:space="preserve">04.2 </w:t>
      </w:r>
      <w:r w:rsidRPr="00EB062C">
        <w:rPr>
          <w:rFonts w:ascii="Arial" w:hAnsi="Arial" w:cs="Arial"/>
          <w:i/>
        </w:rPr>
        <w:t>Curved and Mitered Segments of Pipe</w:t>
      </w:r>
      <w:r w:rsidRPr="00A2689D">
        <w:rPr>
          <w:rFonts w:ascii="Arial" w:hAnsi="Arial" w:cs="Arial"/>
        </w:rPr>
        <w:t xml:space="preserve">, </w:t>
      </w:r>
      <w:r w:rsidR="00F51C3E" w:rsidRPr="00A2689D">
        <w:rPr>
          <w:rFonts w:ascii="Arial" w:hAnsi="Arial" w:cs="Arial"/>
        </w:rPr>
        <w:t>1</w:t>
      </w:r>
      <w:r w:rsidRPr="00A2689D">
        <w:rPr>
          <w:rFonts w:ascii="Arial" w:hAnsi="Arial" w:cs="Arial"/>
        </w:rPr>
        <w:t>04.3</w:t>
      </w:r>
      <w:r w:rsidR="00A2689D" w:rsidRPr="00A2689D">
        <w:rPr>
          <w:rFonts w:ascii="Arial" w:hAnsi="Arial" w:cs="Arial"/>
        </w:rPr>
        <w:t xml:space="preserve"> </w:t>
      </w:r>
      <w:r w:rsidR="00F51C3E" w:rsidRPr="00EB062C">
        <w:rPr>
          <w:rFonts w:ascii="Arial" w:hAnsi="Arial" w:cs="Arial"/>
          <w:i/>
        </w:rPr>
        <w:t>Inters</w:t>
      </w:r>
      <w:r w:rsidR="00A2689D" w:rsidRPr="00EB062C">
        <w:rPr>
          <w:rFonts w:ascii="Arial" w:hAnsi="Arial" w:cs="Arial"/>
          <w:i/>
        </w:rPr>
        <w:t>ec</w:t>
      </w:r>
      <w:r w:rsidR="00F51C3E" w:rsidRPr="00EB062C">
        <w:rPr>
          <w:rFonts w:ascii="Arial" w:hAnsi="Arial" w:cs="Arial"/>
          <w:i/>
        </w:rPr>
        <w:t>tions</w:t>
      </w:r>
      <w:r w:rsidRPr="00A2689D">
        <w:rPr>
          <w:rFonts w:ascii="Arial" w:hAnsi="Arial" w:cs="Arial"/>
        </w:rPr>
        <w:t xml:space="preserve">, </w:t>
      </w:r>
      <w:r w:rsidR="00F51C3E" w:rsidRPr="00A2689D">
        <w:rPr>
          <w:rFonts w:ascii="Arial" w:hAnsi="Arial" w:cs="Arial"/>
        </w:rPr>
        <w:t>1</w:t>
      </w:r>
      <w:r w:rsidRPr="00A2689D">
        <w:rPr>
          <w:rFonts w:ascii="Arial" w:hAnsi="Arial" w:cs="Arial"/>
        </w:rPr>
        <w:t xml:space="preserve">04.4 </w:t>
      </w:r>
      <w:r w:rsidRPr="00EB062C">
        <w:rPr>
          <w:rFonts w:ascii="Arial" w:hAnsi="Arial" w:cs="Arial"/>
          <w:i/>
        </w:rPr>
        <w:t>Closures</w:t>
      </w:r>
      <w:r w:rsidRPr="00A2689D">
        <w:rPr>
          <w:rFonts w:ascii="Arial" w:hAnsi="Arial" w:cs="Arial"/>
        </w:rPr>
        <w:t xml:space="preserve">, </w:t>
      </w:r>
      <w:r w:rsidR="00F51C3E" w:rsidRPr="00A2689D">
        <w:rPr>
          <w:rFonts w:ascii="Arial" w:hAnsi="Arial" w:cs="Arial"/>
        </w:rPr>
        <w:t>1</w:t>
      </w:r>
      <w:r w:rsidRPr="00A2689D">
        <w:rPr>
          <w:rFonts w:ascii="Arial" w:hAnsi="Arial" w:cs="Arial"/>
        </w:rPr>
        <w:t xml:space="preserve">04.5 </w:t>
      </w:r>
      <w:r w:rsidRPr="00EB062C">
        <w:rPr>
          <w:rFonts w:ascii="Arial" w:hAnsi="Arial" w:cs="Arial"/>
          <w:i/>
        </w:rPr>
        <w:t>Pressure Design of Flanges and Blanks</w:t>
      </w:r>
      <w:r w:rsidRPr="00A2689D">
        <w:rPr>
          <w:rFonts w:ascii="Arial" w:hAnsi="Arial" w:cs="Arial"/>
        </w:rPr>
        <w:t xml:space="preserve">, or </w:t>
      </w:r>
      <w:r w:rsidR="00F51C3E" w:rsidRPr="00A2689D">
        <w:rPr>
          <w:rFonts w:ascii="Arial" w:hAnsi="Arial" w:cs="Arial"/>
        </w:rPr>
        <w:t>1</w:t>
      </w:r>
      <w:r w:rsidRPr="00A2689D">
        <w:rPr>
          <w:rFonts w:ascii="Arial" w:hAnsi="Arial" w:cs="Arial"/>
        </w:rPr>
        <w:t xml:space="preserve">04.6 </w:t>
      </w:r>
      <w:r w:rsidRPr="00EB062C">
        <w:rPr>
          <w:rFonts w:ascii="Arial" w:hAnsi="Arial" w:cs="Arial"/>
          <w:i/>
        </w:rPr>
        <w:t>Reducer</w:t>
      </w:r>
      <w:r w:rsidRPr="00A2689D">
        <w:rPr>
          <w:rFonts w:ascii="Arial" w:hAnsi="Arial" w:cs="Arial"/>
        </w:rPr>
        <w:t>s?  If so</w:t>
      </w:r>
      <w:r w:rsidR="00EB062C">
        <w:rPr>
          <w:rFonts w:ascii="Arial" w:hAnsi="Arial" w:cs="Arial"/>
        </w:rPr>
        <w:t>,</w:t>
      </w:r>
      <w:r w:rsidRPr="00A2689D">
        <w:rPr>
          <w:rFonts w:ascii="Arial" w:hAnsi="Arial" w:cs="Arial"/>
        </w:rPr>
        <w:t xml:space="preserve"> evaluate per that paragraph</w:t>
      </w:r>
      <w:r w:rsidR="005C4634" w:rsidRPr="00A2689D">
        <w:rPr>
          <w:rFonts w:ascii="Arial" w:hAnsi="Arial" w:cs="Arial"/>
        </w:rPr>
        <w:t>.</w:t>
      </w:r>
    </w:p>
    <w:p w:rsidR="007A4549" w:rsidRPr="00A2689D" w:rsidRDefault="007A4549" w:rsidP="007A4549">
      <w:pPr>
        <w:autoSpaceDE w:val="0"/>
        <w:autoSpaceDN w:val="0"/>
        <w:adjustRightInd w:val="0"/>
        <w:spacing w:after="0" w:line="240" w:lineRule="auto"/>
        <w:rPr>
          <w:rFonts w:ascii="Arial" w:hAnsi="Arial" w:cs="Arial"/>
          <w:b/>
        </w:rPr>
      </w:pPr>
      <w:bookmarkStart w:id="0" w:name="_GoBack"/>
      <w:bookmarkEnd w:id="0"/>
    </w:p>
    <w:p w:rsidR="007A4549" w:rsidRPr="00A2689D" w:rsidRDefault="007A4549" w:rsidP="005C4634">
      <w:pPr>
        <w:autoSpaceDE w:val="0"/>
        <w:autoSpaceDN w:val="0"/>
        <w:adjustRightInd w:val="0"/>
        <w:spacing w:line="240" w:lineRule="auto"/>
        <w:rPr>
          <w:rFonts w:ascii="Arial" w:hAnsi="Arial" w:cs="Arial"/>
        </w:rPr>
      </w:pPr>
      <w:r w:rsidRPr="00A2689D">
        <w:rPr>
          <w:rFonts w:ascii="Arial" w:hAnsi="Arial" w:cs="Arial"/>
        </w:rPr>
        <w:t xml:space="preserve">Does the component fall into </w:t>
      </w:r>
      <w:r w:rsidR="00F51C3E" w:rsidRPr="00A2689D">
        <w:rPr>
          <w:rFonts w:ascii="Arial" w:hAnsi="Arial" w:cs="Arial"/>
        </w:rPr>
        <w:t>1</w:t>
      </w:r>
      <w:r w:rsidRPr="00A2689D">
        <w:rPr>
          <w:rFonts w:ascii="Arial" w:hAnsi="Arial" w:cs="Arial"/>
        </w:rPr>
        <w:t xml:space="preserve">04.7 </w:t>
      </w:r>
      <w:r w:rsidR="00F51C3E" w:rsidRPr="00EB062C">
        <w:rPr>
          <w:rFonts w:ascii="Arial" w:hAnsi="Arial" w:cs="Arial"/>
          <w:i/>
        </w:rPr>
        <w:t>Other</w:t>
      </w:r>
      <w:r w:rsidR="00F51C3E" w:rsidRPr="00EB062C">
        <w:rPr>
          <w:rFonts w:ascii="Arial" w:hAnsi="Arial" w:cs="Arial"/>
        </w:rPr>
        <w:t xml:space="preserve"> </w:t>
      </w:r>
      <w:r w:rsidR="00F51C3E" w:rsidRPr="0030189C">
        <w:rPr>
          <w:rFonts w:ascii="Arial" w:hAnsi="Arial" w:cs="Arial"/>
          <w:i/>
        </w:rPr>
        <w:t>Pressure-Containing Components</w:t>
      </w:r>
      <w:r w:rsidR="00A2689D" w:rsidRPr="00EB062C">
        <w:rPr>
          <w:rFonts w:ascii="Arial" w:hAnsi="Arial" w:cs="Arial"/>
        </w:rPr>
        <w:t>, specifically</w:t>
      </w:r>
      <w:r w:rsidR="00EB062C" w:rsidRPr="00EB062C">
        <w:rPr>
          <w:rFonts w:ascii="Arial" w:hAnsi="Arial" w:cs="Arial"/>
        </w:rPr>
        <w:t xml:space="preserve"> </w:t>
      </w:r>
      <w:r w:rsidR="00F51C3E" w:rsidRPr="00EB062C">
        <w:rPr>
          <w:rFonts w:ascii="Arial" w:hAnsi="Arial" w:cs="Arial"/>
        </w:rPr>
        <w:t>1</w:t>
      </w:r>
      <w:r w:rsidRPr="00EB062C">
        <w:rPr>
          <w:rFonts w:ascii="Arial" w:hAnsi="Arial" w:cs="Arial"/>
        </w:rPr>
        <w:t>04.7.2</w:t>
      </w:r>
      <w:r w:rsidR="00F51C3E" w:rsidRPr="00EB062C">
        <w:rPr>
          <w:rFonts w:ascii="Arial" w:hAnsi="Arial" w:cs="Arial"/>
        </w:rPr>
        <w:t xml:space="preserve"> </w:t>
      </w:r>
      <w:r w:rsidR="00F51C3E" w:rsidRPr="0030189C">
        <w:rPr>
          <w:rFonts w:ascii="Arial" w:hAnsi="Arial" w:cs="Arial"/>
          <w:i/>
        </w:rPr>
        <w:t>Specially Designed Components</w:t>
      </w:r>
      <w:r w:rsidRPr="00A2689D">
        <w:rPr>
          <w:rFonts w:ascii="Arial" w:hAnsi="Arial" w:cs="Arial"/>
        </w:rPr>
        <w:t>?  If so evaluate per the following:</w:t>
      </w:r>
    </w:p>
    <w:tbl>
      <w:tblPr>
        <w:tblStyle w:val="TableGrid"/>
        <w:tblW w:w="0" w:type="auto"/>
        <w:tblLook w:val="04A0" w:firstRow="1" w:lastRow="0" w:firstColumn="1" w:lastColumn="0" w:noHBand="0" w:noVBand="1"/>
      </w:tblPr>
      <w:tblGrid>
        <w:gridCol w:w="738"/>
        <w:gridCol w:w="7380"/>
        <w:gridCol w:w="1458"/>
      </w:tblGrid>
      <w:tr w:rsidR="009B786F" w:rsidRPr="00A2689D" w:rsidTr="00FE02FE">
        <w:tc>
          <w:tcPr>
            <w:tcW w:w="738" w:type="dxa"/>
          </w:tcPr>
          <w:p w:rsidR="009B786F" w:rsidRPr="00A2689D" w:rsidRDefault="009B786F" w:rsidP="00FE02FE">
            <w:pPr>
              <w:jc w:val="center"/>
              <w:rPr>
                <w:rFonts w:ascii="Arial" w:hAnsi="Arial" w:cs="Arial"/>
                <w:b/>
              </w:rPr>
            </w:pPr>
            <w:r w:rsidRPr="00A2689D">
              <w:rPr>
                <w:rFonts w:ascii="Arial" w:hAnsi="Arial" w:cs="Arial"/>
                <w:b/>
              </w:rPr>
              <w:t>Item</w:t>
            </w:r>
          </w:p>
        </w:tc>
        <w:tc>
          <w:tcPr>
            <w:tcW w:w="7380" w:type="dxa"/>
          </w:tcPr>
          <w:p w:rsidR="009B786F" w:rsidRPr="00A2689D" w:rsidRDefault="009B786F" w:rsidP="00FE02FE">
            <w:pPr>
              <w:jc w:val="center"/>
              <w:rPr>
                <w:rFonts w:ascii="Arial" w:hAnsi="Arial" w:cs="Arial"/>
                <w:b/>
              </w:rPr>
            </w:pPr>
            <w:r w:rsidRPr="00A2689D">
              <w:rPr>
                <w:rFonts w:ascii="Arial" w:hAnsi="Arial" w:cs="Arial"/>
                <w:b/>
              </w:rPr>
              <w:t>Requirement</w:t>
            </w:r>
          </w:p>
        </w:tc>
        <w:tc>
          <w:tcPr>
            <w:tcW w:w="1458" w:type="dxa"/>
          </w:tcPr>
          <w:p w:rsidR="009B786F" w:rsidRPr="00A2689D" w:rsidRDefault="009B786F" w:rsidP="00FE02FE">
            <w:pPr>
              <w:jc w:val="center"/>
              <w:rPr>
                <w:rFonts w:ascii="Arial" w:hAnsi="Arial" w:cs="Arial"/>
                <w:b/>
              </w:rPr>
            </w:pPr>
            <w:r w:rsidRPr="00A2689D">
              <w:rPr>
                <w:rFonts w:ascii="Arial" w:hAnsi="Arial" w:cs="Arial"/>
                <w:b/>
              </w:rPr>
              <w:t>Completed (attached)</w:t>
            </w:r>
          </w:p>
        </w:tc>
      </w:tr>
      <w:tr w:rsidR="009B786F" w:rsidRPr="00A2689D" w:rsidTr="00FE02FE">
        <w:tc>
          <w:tcPr>
            <w:tcW w:w="738" w:type="dxa"/>
          </w:tcPr>
          <w:p w:rsidR="009B786F" w:rsidRPr="00A2689D" w:rsidRDefault="009B786F" w:rsidP="00EB062C">
            <w:pPr>
              <w:jc w:val="center"/>
              <w:rPr>
                <w:rFonts w:ascii="Arial" w:hAnsi="Arial" w:cs="Arial"/>
              </w:rPr>
            </w:pPr>
            <w:r w:rsidRPr="00A2689D">
              <w:rPr>
                <w:rFonts w:ascii="Arial" w:hAnsi="Arial" w:cs="Arial"/>
              </w:rPr>
              <w:t>A</w:t>
            </w:r>
          </w:p>
        </w:tc>
        <w:tc>
          <w:tcPr>
            <w:tcW w:w="7380" w:type="dxa"/>
          </w:tcPr>
          <w:p w:rsidR="009B786F" w:rsidRPr="00A2689D" w:rsidRDefault="00EB062C" w:rsidP="00F51C3E">
            <w:pPr>
              <w:rPr>
                <w:rFonts w:ascii="Arial" w:hAnsi="Arial" w:cs="Arial"/>
              </w:rPr>
            </w:pPr>
            <w:r>
              <w:rPr>
                <w:rFonts w:ascii="Arial" w:hAnsi="Arial" w:cs="Arial"/>
              </w:rPr>
              <w:t>E</w:t>
            </w:r>
            <w:r w:rsidR="00F51C3E" w:rsidRPr="00A2689D">
              <w:rPr>
                <w:rFonts w:ascii="Arial" w:hAnsi="Arial" w:cs="Arial"/>
              </w:rPr>
              <w:t>xtensive, successful service experience under comparable conditions with similarly proportioned components of the same or similar material</w:t>
            </w:r>
            <w:r w:rsidR="0030189C">
              <w:rPr>
                <w:rFonts w:ascii="Arial" w:hAnsi="Arial" w:cs="Arial"/>
              </w:rPr>
              <w:t>.</w:t>
            </w:r>
          </w:p>
        </w:tc>
        <w:tc>
          <w:tcPr>
            <w:tcW w:w="1458" w:type="dxa"/>
          </w:tcPr>
          <w:p w:rsidR="009B786F" w:rsidRPr="00A2689D" w:rsidRDefault="009B786F">
            <w:pPr>
              <w:rPr>
                <w:rFonts w:ascii="Arial" w:hAnsi="Arial" w:cs="Arial"/>
              </w:rPr>
            </w:pPr>
          </w:p>
        </w:tc>
      </w:tr>
      <w:tr w:rsidR="009B786F" w:rsidRPr="00A2689D" w:rsidTr="00FE02FE">
        <w:tc>
          <w:tcPr>
            <w:tcW w:w="738" w:type="dxa"/>
          </w:tcPr>
          <w:p w:rsidR="009B786F" w:rsidRPr="00A2689D" w:rsidRDefault="009B786F" w:rsidP="00EB062C">
            <w:pPr>
              <w:jc w:val="center"/>
              <w:rPr>
                <w:rFonts w:ascii="Arial" w:hAnsi="Arial" w:cs="Arial"/>
              </w:rPr>
            </w:pPr>
            <w:r w:rsidRPr="00A2689D">
              <w:rPr>
                <w:rFonts w:ascii="Arial" w:hAnsi="Arial" w:cs="Arial"/>
              </w:rPr>
              <w:t>B</w:t>
            </w:r>
          </w:p>
        </w:tc>
        <w:tc>
          <w:tcPr>
            <w:tcW w:w="7380" w:type="dxa"/>
          </w:tcPr>
          <w:p w:rsidR="009B786F" w:rsidRPr="00A2689D" w:rsidRDefault="00EB062C" w:rsidP="00F51C3E">
            <w:pPr>
              <w:rPr>
                <w:rFonts w:ascii="Arial" w:hAnsi="Arial" w:cs="Arial"/>
              </w:rPr>
            </w:pPr>
            <w:r>
              <w:rPr>
                <w:rFonts w:ascii="Arial" w:hAnsi="Arial" w:cs="Arial"/>
              </w:rPr>
              <w:t>E</w:t>
            </w:r>
            <w:r w:rsidR="00F51C3E" w:rsidRPr="00A2689D">
              <w:rPr>
                <w:rFonts w:ascii="Arial" w:hAnsi="Arial" w:cs="Arial"/>
              </w:rPr>
              <w:t xml:space="preserve">xperimental stress analysis, such as described in the </w:t>
            </w:r>
            <w:r w:rsidR="00F51C3E" w:rsidRPr="0030189C">
              <w:rPr>
                <w:rFonts w:ascii="Arial" w:hAnsi="Arial" w:cs="Arial"/>
                <w:i/>
              </w:rPr>
              <w:t>ASME Boiler and Pressure Vessel Code</w:t>
            </w:r>
            <w:r w:rsidR="00F51C3E" w:rsidRPr="00A2689D">
              <w:rPr>
                <w:rFonts w:ascii="Arial" w:hAnsi="Arial" w:cs="Arial"/>
              </w:rPr>
              <w:t>, Section VIII, Division 2, Annex 5-F</w:t>
            </w:r>
            <w:r w:rsidR="009B786F" w:rsidRPr="00A2689D">
              <w:rPr>
                <w:rFonts w:ascii="Arial" w:hAnsi="Arial" w:cs="Arial"/>
              </w:rPr>
              <w:t>.</w:t>
            </w:r>
            <w:r w:rsidR="000E7B9F" w:rsidRPr="00A2689D">
              <w:rPr>
                <w:rFonts w:ascii="Arial" w:hAnsi="Arial" w:cs="Arial"/>
              </w:rPr>
              <w:t xml:space="preserve"> </w:t>
            </w:r>
          </w:p>
        </w:tc>
        <w:tc>
          <w:tcPr>
            <w:tcW w:w="1458" w:type="dxa"/>
          </w:tcPr>
          <w:p w:rsidR="009B786F" w:rsidRPr="00A2689D" w:rsidRDefault="009B786F">
            <w:pPr>
              <w:rPr>
                <w:rFonts w:ascii="Arial" w:hAnsi="Arial" w:cs="Arial"/>
              </w:rPr>
            </w:pPr>
          </w:p>
        </w:tc>
      </w:tr>
      <w:tr w:rsidR="009B786F" w:rsidRPr="00A2689D" w:rsidTr="00FE02FE">
        <w:tc>
          <w:tcPr>
            <w:tcW w:w="738" w:type="dxa"/>
          </w:tcPr>
          <w:p w:rsidR="009B786F" w:rsidRPr="00A2689D" w:rsidRDefault="009B786F" w:rsidP="00EB062C">
            <w:pPr>
              <w:jc w:val="center"/>
              <w:rPr>
                <w:rFonts w:ascii="Arial" w:hAnsi="Arial" w:cs="Arial"/>
              </w:rPr>
            </w:pPr>
            <w:r w:rsidRPr="00A2689D">
              <w:rPr>
                <w:rFonts w:ascii="Arial" w:hAnsi="Arial" w:cs="Arial"/>
              </w:rPr>
              <w:t>C</w:t>
            </w:r>
          </w:p>
        </w:tc>
        <w:tc>
          <w:tcPr>
            <w:tcW w:w="7380" w:type="dxa"/>
          </w:tcPr>
          <w:p w:rsidR="009B786F" w:rsidRPr="00A2689D" w:rsidRDefault="00EB062C" w:rsidP="00F51C3E">
            <w:pPr>
              <w:rPr>
                <w:rFonts w:ascii="Arial" w:hAnsi="Arial" w:cs="Arial"/>
              </w:rPr>
            </w:pPr>
            <w:r>
              <w:rPr>
                <w:rFonts w:ascii="Arial" w:hAnsi="Arial" w:cs="Arial"/>
              </w:rPr>
              <w:t>P</w:t>
            </w:r>
            <w:r w:rsidR="00F51C3E" w:rsidRPr="00A2689D">
              <w:rPr>
                <w:rFonts w:ascii="Arial" w:hAnsi="Arial" w:cs="Arial"/>
              </w:rPr>
              <w:t xml:space="preserve">roof test in accordance with either ASME B16.9; MSS SP-97; or the </w:t>
            </w:r>
            <w:r w:rsidR="00F51C3E" w:rsidRPr="0030189C">
              <w:rPr>
                <w:rFonts w:ascii="Arial" w:hAnsi="Arial" w:cs="Arial"/>
                <w:i/>
              </w:rPr>
              <w:t>ASME Boiler and Pressure Vessel Code</w:t>
            </w:r>
            <w:r w:rsidR="00F51C3E" w:rsidRPr="00A2689D">
              <w:rPr>
                <w:rFonts w:ascii="Arial" w:hAnsi="Arial" w:cs="Arial"/>
              </w:rPr>
              <w:t>, Section I, A-22</w:t>
            </w:r>
            <w:r w:rsidR="0030189C">
              <w:rPr>
                <w:rFonts w:ascii="Arial" w:hAnsi="Arial" w:cs="Arial"/>
              </w:rPr>
              <w:t>.</w:t>
            </w:r>
          </w:p>
        </w:tc>
        <w:tc>
          <w:tcPr>
            <w:tcW w:w="1458" w:type="dxa"/>
          </w:tcPr>
          <w:p w:rsidR="009B786F" w:rsidRPr="00A2689D" w:rsidRDefault="009B786F">
            <w:pPr>
              <w:rPr>
                <w:rFonts w:ascii="Arial" w:hAnsi="Arial" w:cs="Arial"/>
              </w:rPr>
            </w:pPr>
          </w:p>
        </w:tc>
      </w:tr>
      <w:tr w:rsidR="009B786F" w:rsidRPr="00A2689D" w:rsidTr="00FE02FE">
        <w:tc>
          <w:tcPr>
            <w:tcW w:w="738" w:type="dxa"/>
          </w:tcPr>
          <w:p w:rsidR="009B786F" w:rsidRPr="00A2689D" w:rsidRDefault="009B786F" w:rsidP="00EB062C">
            <w:pPr>
              <w:jc w:val="center"/>
              <w:rPr>
                <w:rFonts w:ascii="Arial" w:hAnsi="Arial" w:cs="Arial"/>
              </w:rPr>
            </w:pPr>
            <w:r w:rsidRPr="00A2689D">
              <w:rPr>
                <w:rFonts w:ascii="Arial" w:hAnsi="Arial" w:cs="Arial"/>
              </w:rPr>
              <w:t>D</w:t>
            </w:r>
          </w:p>
        </w:tc>
        <w:tc>
          <w:tcPr>
            <w:tcW w:w="7380" w:type="dxa"/>
          </w:tcPr>
          <w:p w:rsidR="009B786F" w:rsidRPr="00A2689D" w:rsidRDefault="00EB062C" w:rsidP="0030189C">
            <w:pPr>
              <w:rPr>
                <w:rFonts w:ascii="Arial" w:hAnsi="Arial" w:cs="Arial"/>
              </w:rPr>
            </w:pPr>
            <w:r>
              <w:rPr>
                <w:rFonts w:ascii="Arial" w:hAnsi="Arial" w:cs="Arial"/>
              </w:rPr>
              <w:t>D</w:t>
            </w:r>
            <w:r w:rsidR="00F51C3E" w:rsidRPr="00A2689D">
              <w:rPr>
                <w:rFonts w:ascii="Arial" w:hAnsi="Arial" w:cs="Arial"/>
              </w:rPr>
              <w:t xml:space="preserve">etailed stress analysis, such as finite element method, in accordance with the </w:t>
            </w:r>
            <w:r w:rsidR="00F51C3E" w:rsidRPr="0030189C">
              <w:rPr>
                <w:rFonts w:ascii="Arial" w:hAnsi="Arial" w:cs="Arial"/>
                <w:i/>
              </w:rPr>
              <w:t>ASME Boiler and Pressure Vessel Code</w:t>
            </w:r>
            <w:r w:rsidR="00F51C3E" w:rsidRPr="00A2689D">
              <w:rPr>
                <w:rFonts w:ascii="Arial" w:hAnsi="Arial" w:cs="Arial"/>
              </w:rPr>
              <w:t xml:space="preserve">, Section VIII, Division 2, Part 5, except that the basic material allowable stress from the </w:t>
            </w:r>
            <w:r w:rsidR="0030189C">
              <w:rPr>
                <w:rFonts w:ascii="Arial" w:hAnsi="Arial" w:cs="Arial"/>
              </w:rPr>
              <w:t>a</w:t>
            </w:r>
            <w:r w:rsidR="00F51C3E" w:rsidRPr="00A2689D">
              <w:rPr>
                <w:rFonts w:ascii="Arial" w:hAnsi="Arial" w:cs="Arial"/>
              </w:rPr>
              <w:t xml:space="preserve">llowable </w:t>
            </w:r>
            <w:r w:rsidR="0030189C">
              <w:rPr>
                <w:rFonts w:ascii="Arial" w:hAnsi="Arial" w:cs="Arial"/>
              </w:rPr>
              <w:t>s</w:t>
            </w:r>
            <w:r w:rsidR="00F51C3E" w:rsidRPr="00A2689D">
              <w:rPr>
                <w:rFonts w:ascii="Arial" w:hAnsi="Arial" w:cs="Arial"/>
              </w:rPr>
              <w:t xml:space="preserve">tress </w:t>
            </w:r>
            <w:r w:rsidR="0030189C">
              <w:rPr>
                <w:rFonts w:ascii="Arial" w:hAnsi="Arial" w:cs="Arial"/>
              </w:rPr>
              <w:t>t</w:t>
            </w:r>
            <w:r w:rsidR="00F51C3E" w:rsidRPr="00A2689D">
              <w:rPr>
                <w:rFonts w:ascii="Arial" w:hAnsi="Arial" w:cs="Arial"/>
              </w:rPr>
              <w:t>ables of Mandatory Appendix A shall be used in place of Sm</w:t>
            </w:r>
            <w:r w:rsidR="0030189C">
              <w:rPr>
                <w:rFonts w:ascii="Arial" w:hAnsi="Arial" w:cs="Arial"/>
              </w:rPr>
              <w:t>.</w:t>
            </w:r>
          </w:p>
        </w:tc>
        <w:tc>
          <w:tcPr>
            <w:tcW w:w="1458" w:type="dxa"/>
          </w:tcPr>
          <w:p w:rsidR="009B786F" w:rsidRPr="00A2689D" w:rsidRDefault="009B786F">
            <w:pPr>
              <w:rPr>
                <w:rFonts w:ascii="Arial" w:hAnsi="Arial" w:cs="Arial"/>
              </w:rPr>
            </w:pPr>
          </w:p>
        </w:tc>
      </w:tr>
    </w:tbl>
    <w:p w:rsidR="007A4549" w:rsidRPr="00A2689D" w:rsidRDefault="007670C2" w:rsidP="00A2689D">
      <w:pPr>
        <w:spacing w:before="240" w:after="0" w:line="240" w:lineRule="auto"/>
        <w:ind w:left="180" w:hanging="180"/>
        <w:rPr>
          <w:rFonts w:ascii="Arial" w:hAnsi="Arial" w:cs="Arial"/>
          <w:sz w:val="20"/>
        </w:rPr>
      </w:pPr>
      <w:r w:rsidRPr="00A2689D">
        <w:rPr>
          <w:rFonts w:ascii="Arial" w:hAnsi="Arial" w:cs="Arial"/>
          <w:sz w:val="20"/>
        </w:rPr>
        <w:t>* Note: Code references herein are based on the 201</w:t>
      </w:r>
      <w:r w:rsidR="00F51C3E" w:rsidRPr="00A2689D">
        <w:rPr>
          <w:rFonts w:ascii="Arial" w:hAnsi="Arial" w:cs="Arial"/>
          <w:sz w:val="20"/>
        </w:rPr>
        <w:t>6</w:t>
      </w:r>
      <w:r w:rsidRPr="00A2689D">
        <w:rPr>
          <w:rFonts w:ascii="Arial" w:hAnsi="Arial" w:cs="Arial"/>
          <w:sz w:val="20"/>
        </w:rPr>
        <w:t xml:space="preserve"> edition.  Modify as necessary to align with </w:t>
      </w:r>
      <w:r w:rsidR="008B2DD1" w:rsidRPr="00A2689D">
        <w:rPr>
          <w:rFonts w:ascii="Arial" w:hAnsi="Arial" w:cs="Arial"/>
          <w:sz w:val="20"/>
        </w:rPr>
        <w:t>newer</w:t>
      </w:r>
      <w:r w:rsidRPr="00A2689D">
        <w:rPr>
          <w:rFonts w:ascii="Arial" w:hAnsi="Arial" w:cs="Arial"/>
          <w:sz w:val="20"/>
        </w:rPr>
        <w:t xml:space="preserve"> editions.</w:t>
      </w:r>
    </w:p>
    <w:p w:rsidR="00A2689D" w:rsidRDefault="00A2689D" w:rsidP="00F51C3E">
      <w:pPr>
        <w:rPr>
          <w:rFonts w:ascii="Arial" w:hAnsi="Arial" w:cs="Arial"/>
        </w:rPr>
      </w:pPr>
    </w:p>
    <w:p w:rsidR="007A4549" w:rsidRPr="00A2689D" w:rsidRDefault="00F51C3E" w:rsidP="0030189C">
      <w:pPr>
        <w:spacing w:line="240" w:lineRule="auto"/>
        <w:rPr>
          <w:rFonts w:ascii="Arial" w:hAnsi="Arial" w:cs="Arial"/>
        </w:rPr>
      </w:pPr>
      <w:r w:rsidRPr="00A2689D">
        <w:rPr>
          <w:rFonts w:ascii="Arial" w:hAnsi="Arial" w:cs="Arial"/>
        </w:rPr>
        <w:t>For any of (A) through (D) above, it is permissible to interpolate between sizes, wall thicknesses, and pressure classes and to determine analogies among related materials.  Calculations and documentation showing compliance with this paragraph shall be available for the owner’s approval, and, for boiler external piping, they shall be available for the Authorized Inspector’s review.</w:t>
      </w:r>
    </w:p>
    <w:p w:rsidR="007A4549" w:rsidRPr="00A2689D" w:rsidRDefault="007A4549" w:rsidP="005B7DE7">
      <w:pPr>
        <w:rPr>
          <w:rFonts w:ascii="Arial" w:hAnsi="Arial" w:cs="Arial"/>
        </w:rPr>
      </w:pPr>
    </w:p>
    <w:p w:rsidR="007A4549" w:rsidRPr="00A2689D" w:rsidRDefault="007A4549" w:rsidP="005B7DE7">
      <w:pPr>
        <w:rPr>
          <w:rFonts w:ascii="Arial" w:hAnsi="Arial" w:cs="Arial"/>
        </w:rPr>
      </w:pPr>
    </w:p>
    <w:p w:rsidR="007A4549" w:rsidRPr="00A2689D" w:rsidRDefault="007A4549" w:rsidP="007A4549">
      <w:pPr>
        <w:spacing w:after="0"/>
        <w:rPr>
          <w:rFonts w:ascii="Arial" w:hAnsi="Arial" w:cs="Arial"/>
        </w:rPr>
      </w:pPr>
      <w:r w:rsidRPr="00A2689D">
        <w:rPr>
          <w:rFonts w:ascii="Arial" w:hAnsi="Arial" w:cs="Arial"/>
        </w:rPr>
        <w:t>Evaluated By:</w:t>
      </w:r>
      <w:r w:rsidRPr="00A2689D">
        <w:rPr>
          <w:rFonts w:ascii="Arial" w:hAnsi="Arial" w:cs="Arial"/>
        </w:rPr>
        <w:tab/>
      </w:r>
      <w:r w:rsidRPr="00A2689D">
        <w:rPr>
          <w:rFonts w:ascii="Arial" w:hAnsi="Arial" w:cs="Arial"/>
        </w:rPr>
        <w:tab/>
        <w:t>______________________________________</w:t>
      </w:r>
      <w:r w:rsidRPr="00A2689D">
        <w:rPr>
          <w:rFonts w:ascii="Arial" w:hAnsi="Arial" w:cs="Arial"/>
        </w:rPr>
        <w:tab/>
        <w:t>Date:</w:t>
      </w:r>
      <w:r w:rsidRPr="00A2689D">
        <w:rPr>
          <w:rFonts w:ascii="Arial" w:hAnsi="Arial" w:cs="Arial"/>
        </w:rPr>
        <w:tab/>
        <w:t>_________</w:t>
      </w:r>
    </w:p>
    <w:p w:rsidR="007A4549" w:rsidRPr="00A2689D" w:rsidRDefault="007A4549" w:rsidP="007A4549">
      <w:pPr>
        <w:spacing w:after="0"/>
        <w:rPr>
          <w:rFonts w:ascii="Arial" w:hAnsi="Arial" w:cs="Arial"/>
        </w:rPr>
      </w:pPr>
    </w:p>
    <w:p w:rsidR="007A4549" w:rsidRPr="00EB062C" w:rsidRDefault="00BD52A1" w:rsidP="00EB062C">
      <w:pPr>
        <w:spacing w:after="0"/>
        <w:rPr>
          <w:rFonts w:ascii="Arial" w:hAnsi="Arial" w:cs="Arial"/>
        </w:rPr>
      </w:pPr>
      <w:r w:rsidRPr="00A2689D">
        <w:rPr>
          <w:rFonts w:ascii="Arial" w:hAnsi="Arial" w:cs="Arial"/>
        </w:rPr>
        <w:t>CPSO</w:t>
      </w:r>
      <w:r w:rsidR="0019001B">
        <w:rPr>
          <w:rFonts w:ascii="Arial" w:hAnsi="Arial" w:cs="Arial"/>
        </w:rPr>
        <w:t xml:space="preserve"> Approval</w:t>
      </w:r>
      <w:r w:rsidR="00A2689D">
        <w:rPr>
          <w:rFonts w:ascii="Arial" w:hAnsi="Arial" w:cs="Arial"/>
        </w:rPr>
        <w:t>:</w:t>
      </w:r>
      <w:r w:rsidR="00EB062C">
        <w:rPr>
          <w:rFonts w:ascii="Arial" w:hAnsi="Arial" w:cs="Arial"/>
        </w:rPr>
        <w:t xml:space="preserve"> </w:t>
      </w:r>
      <w:r w:rsidR="007A4549" w:rsidRPr="00A2689D">
        <w:rPr>
          <w:rFonts w:ascii="Arial" w:hAnsi="Arial" w:cs="Arial"/>
        </w:rPr>
        <w:t>______________________________________</w:t>
      </w:r>
      <w:r w:rsidR="007A4549" w:rsidRPr="00A2689D">
        <w:rPr>
          <w:rFonts w:ascii="Arial" w:hAnsi="Arial" w:cs="Arial"/>
        </w:rPr>
        <w:tab/>
        <w:t>Date:</w:t>
      </w:r>
      <w:r w:rsidR="007A4549" w:rsidRPr="00A2689D">
        <w:rPr>
          <w:rFonts w:ascii="Arial" w:hAnsi="Arial" w:cs="Arial"/>
        </w:rPr>
        <w:tab/>
        <w:t>_________</w:t>
      </w:r>
    </w:p>
    <w:sectPr w:rsidR="007A4549" w:rsidRPr="00EB06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07" w:rsidRDefault="006B6D07" w:rsidP="0022765E">
      <w:pPr>
        <w:spacing w:after="0" w:line="240" w:lineRule="auto"/>
      </w:pPr>
      <w:r>
        <w:separator/>
      </w:r>
    </w:p>
    <w:p w:rsidR="0041143F" w:rsidRDefault="0041143F"/>
  </w:endnote>
  <w:endnote w:type="continuationSeparator" w:id="0">
    <w:p w:rsidR="006B6D07" w:rsidRDefault="006B6D07" w:rsidP="0022765E">
      <w:pPr>
        <w:spacing w:after="0" w:line="240" w:lineRule="auto"/>
      </w:pPr>
      <w:r>
        <w:continuationSeparator/>
      </w:r>
    </w:p>
    <w:p w:rsidR="0041143F" w:rsidRDefault="00411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698574"/>
      <w:docPartObj>
        <w:docPartGallery w:val="Page Numbers (Bottom of Page)"/>
        <w:docPartUnique/>
      </w:docPartObj>
    </w:sdtPr>
    <w:sdtEndPr/>
    <w:sdtContent>
      <w:sdt>
        <w:sdtPr>
          <w:id w:val="1728636285"/>
          <w:docPartObj>
            <w:docPartGallery w:val="Page Numbers (Top of Page)"/>
            <w:docPartUnique/>
          </w:docPartObj>
        </w:sdtPr>
        <w:sdtEndPr/>
        <w:sdtContent>
          <w:p w:rsidR="00EC5DD6" w:rsidRPr="00EC5DD6" w:rsidRDefault="00584C2B">
            <w:pPr>
              <w:pStyle w:val="Footer"/>
              <w:jc w:val="center"/>
            </w:pPr>
            <w:r>
              <w:rPr>
                <w:rFonts w:ascii="Arial" w:hAnsi="Arial" w:cs="Arial"/>
                <w:sz w:val="20"/>
              </w:rPr>
              <w:t>ESM Ch. 17 Sect. ADMIN-2-F</w:t>
            </w:r>
            <w:r w:rsidR="009D0DC5">
              <w:rPr>
                <w:rFonts w:ascii="Arial" w:hAnsi="Arial" w:cs="Arial"/>
                <w:sz w:val="20"/>
              </w:rPr>
              <w:t>orm</w:t>
            </w:r>
            <w:r w:rsidR="005C3F6F">
              <w:rPr>
                <w:rFonts w:ascii="Arial" w:hAnsi="Arial" w:cs="Arial"/>
                <w:sz w:val="20"/>
              </w:rPr>
              <w:t>-</w:t>
            </w:r>
            <w:r w:rsidR="00F51C3E">
              <w:rPr>
                <w:rFonts w:ascii="Arial" w:hAnsi="Arial" w:cs="Arial"/>
                <w:sz w:val="20"/>
              </w:rPr>
              <w:t>1</w:t>
            </w:r>
            <w:r w:rsidR="001D7924">
              <w:rPr>
                <w:rFonts w:ascii="Arial" w:hAnsi="Arial" w:cs="Arial"/>
                <w:sz w:val="20"/>
              </w:rPr>
              <w:t>C</w:t>
            </w:r>
            <w:r w:rsidR="009D0DC5">
              <w:rPr>
                <w:rFonts w:ascii="Arial" w:hAnsi="Arial" w:cs="Arial"/>
                <w:sz w:val="20"/>
              </w:rPr>
              <w:t>,</w:t>
            </w:r>
            <w:r>
              <w:rPr>
                <w:rFonts w:ascii="Arial" w:hAnsi="Arial" w:cs="Arial"/>
                <w:sz w:val="20"/>
              </w:rPr>
              <w:t xml:space="preserve"> Rev. 0 (</w:t>
            </w:r>
            <w:r w:rsidR="004F512A">
              <w:rPr>
                <w:rFonts w:ascii="Arial" w:hAnsi="Arial" w:cs="Arial"/>
                <w:sz w:val="20"/>
              </w:rPr>
              <w:t>9</w:t>
            </w:r>
            <w:r w:rsidR="00F51C3E">
              <w:rPr>
                <w:rFonts w:ascii="Arial" w:hAnsi="Arial" w:cs="Arial"/>
                <w:sz w:val="20"/>
              </w:rPr>
              <w:t>/</w:t>
            </w:r>
            <w:r w:rsidR="005C3F6F">
              <w:rPr>
                <w:rFonts w:ascii="Arial" w:hAnsi="Arial" w:cs="Arial"/>
                <w:sz w:val="20"/>
              </w:rPr>
              <w:t>1</w:t>
            </w:r>
            <w:r w:rsidR="00071B8C">
              <w:rPr>
                <w:rFonts w:ascii="Arial" w:hAnsi="Arial" w:cs="Arial"/>
                <w:sz w:val="20"/>
              </w:rPr>
              <w:t>1</w:t>
            </w:r>
            <w:r w:rsidR="00F51C3E">
              <w:rPr>
                <w:rFonts w:ascii="Arial" w:hAnsi="Arial" w:cs="Arial"/>
                <w:sz w:val="20"/>
              </w:rPr>
              <w:t>/18</w:t>
            </w:r>
            <w:r>
              <w:rPr>
                <w:rFonts w:ascii="Arial" w:hAnsi="Arial" w:cs="Arial"/>
                <w:sz w:val="20"/>
              </w:rPr>
              <w:t>)</w:t>
            </w:r>
            <w:r>
              <w:rPr>
                <w:rFonts w:ascii="Arial" w:hAnsi="Arial" w:cs="Arial"/>
                <w:sz w:val="20"/>
              </w:rPr>
              <w:tab/>
            </w:r>
            <w:r>
              <w:rPr>
                <w:rFonts w:ascii="Arial" w:hAnsi="Arial" w:cs="Arial"/>
                <w:sz w:val="20"/>
              </w:rPr>
              <w:tab/>
            </w:r>
          </w:p>
        </w:sdtContent>
      </w:sdt>
    </w:sdtContent>
  </w:sdt>
  <w:p w:rsidR="00EC5DD6" w:rsidRDefault="00EC5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07" w:rsidRDefault="006B6D07" w:rsidP="0022765E">
      <w:pPr>
        <w:spacing w:after="0" w:line="240" w:lineRule="auto"/>
      </w:pPr>
      <w:r>
        <w:separator/>
      </w:r>
    </w:p>
    <w:p w:rsidR="0041143F" w:rsidRDefault="0041143F"/>
  </w:footnote>
  <w:footnote w:type="continuationSeparator" w:id="0">
    <w:p w:rsidR="006B6D07" w:rsidRDefault="006B6D07" w:rsidP="0022765E">
      <w:pPr>
        <w:spacing w:after="0" w:line="240" w:lineRule="auto"/>
      </w:pPr>
      <w:r>
        <w:continuationSeparator/>
      </w:r>
    </w:p>
    <w:p w:rsidR="0041143F" w:rsidRDefault="004114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08" w:type="dxa"/>
      <w:tblLook w:val="01E0" w:firstRow="1" w:lastRow="1" w:firstColumn="1" w:lastColumn="1" w:noHBand="0" w:noVBand="0"/>
    </w:tblPr>
    <w:tblGrid>
      <w:gridCol w:w="2700"/>
      <w:gridCol w:w="6840"/>
    </w:tblGrid>
    <w:tr w:rsidR="00584C2B" w:rsidRPr="007418A3" w:rsidTr="005C3F6F">
      <w:trPr>
        <w:trHeight w:val="1620"/>
      </w:trPr>
      <w:tc>
        <w:tcPr>
          <w:tcW w:w="2700" w:type="dxa"/>
        </w:tcPr>
        <w:p w:rsidR="00584C2B" w:rsidRPr="00BB7BD0" w:rsidRDefault="00584C2B" w:rsidP="00584C2B">
          <w:pPr>
            <w:pStyle w:val="Header"/>
          </w:pPr>
          <w:r>
            <w:rPr>
              <w:noProof/>
            </w:rPr>
            <w:drawing>
              <wp:anchor distT="0" distB="0" distL="114300" distR="114300" simplePos="0" relativeHeight="251658240" behindDoc="0" locked="0" layoutInCell="1" allowOverlap="1" wp14:anchorId="1BA58ABD" wp14:editId="38C825BD">
                <wp:simplePos x="0" y="0"/>
                <wp:positionH relativeFrom="column">
                  <wp:posOffset>-68580</wp:posOffset>
                </wp:positionH>
                <wp:positionV relativeFrom="paragraph">
                  <wp:posOffset>-57150</wp:posOffset>
                </wp:positionV>
                <wp:extent cx="1714500" cy="889635"/>
                <wp:effectExtent l="0" t="0" r="0" b="571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714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tcPr>
        <w:p w:rsidR="00584C2B" w:rsidRPr="00D1368D" w:rsidRDefault="00584C2B" w:rsidP="00584C2B">
          <w:pPr>
            <w:pStyle w:val="Header"/>
            <w:spacing w:before="120"/>
            <w:jc w:val="right"/>
            <w:rPr>
              <w:rFonts w:ascii="Times New Roman" w:hAnsi="Times New Roman" w:cs="Times New Roman"/>
              <w:b/>
              <w:bCs/>
              <w:i/>
              <w:iCs/>
              <w:sz w:val="24"/>
            </w:rPr>
          </w:pPr>
          <w:r w:rsidRPr="00D1368D">
            <w:rPr>
              <w:rFonts w:ascii="Times New Roman" w:hAnsi="Times New Roman" w:cs="Times New Roman"/>
              <w:b/>
              <w:bCs/>
              <w:i/>
              <w:iCs/>
              <w:sz w:val="24"/>
            </w:rPr>
            <w:t>Engineering Standard Manual</w:t>
          </w:r>
        </w:p>
        <w:p w:rsidR="00584C2B" w:rsidRPr="00584C2B" w:rsidRDefault="00223C86" w:rsidP="007670C2">
          <w:pPr>
            <w:autoSpaceDE w:val="0"/>
            <w:autoSpaceDN w:val="0"/>
            <w:adjustRightInd w:val="0"/>
            <w:jc w:val="right"/>
            <w:rPr>
              <w:rFonts w:ascii="Arial" w:hAnsi="Arial" w:cs="Arial"/>
              <w:b/>
              <w:bCs/>
              <w:sz w:val="24"/>
            </w:rPr>
          </w:pPr>
          <w:r>
            <w:rPr>
              <w:rFonts w:ascii="Arial" w:hAnsi="Arial" w:cs="Arial"/>
              <w:b/>
              <w:sz w:val="24"/>
            </w:rPr>
            <w:t>ASME B31.1</w:t>
          </w:r>
          <w:r w:rsidR="007670C2">
            <w:rPr>
              <w:rFonts w:ascii="Arial" w:hAnsi="Arial" w:cs="Arial"/>
              <w:b/>
              <w:sz w:val="24"/>
            </w:rPr>
            <w:t xml:space="preserve"> </w:t>
          </w:r>
          <w:r w:rsidR="001D7924">
            <w:rPr>
              <w:rFonts w:ascii="Arial" w:hAnsi="Arial" w:cs="Arial"/>
              <w:b/>
              <w:sz w:val="24"/>
            </w:rPr>
            <w:t>Other Unlisted Component</w:t>
          </w:r>
          <w:r w:rsidR="00584C2B" w:rsidRPr="00584C2B">
            <w:rPr>
              <w:rFonts w:ascii="Arial" w:hAnsi="Arial" w:cs="Arial"/>
              <w:b/>
              <w:sz w:val="24"/>
            </w:rPr>
            <w:t xml:space="preserve"> Evaluation</w:t>
          </w:r>
          <w:r>
            <w:rPr>
              <w:rFonts w:ascii="Arial" w:hAnsi="Arial" w:cs="Arial"/>
              <w:b/>
              <w:sz w:val="24"/>
            </w:rPr>
            <w:t>1</w:t>
          </w:r>
        </w:p>
      </w:tc>
    </w:tr>
  </w:tbl>
  <w:p w:rsidR="0041143F" w:rsidRDefault="00584C2B" w:rsidP="00EB062C">
    <w:pPr>
      <w:pStyle w:val="Header"/>
      <w:tabs>
        <w:tab w:val="left" w:pos="3084"/>
      </w:tabs>
      <w:jc w:val="right"/>
    </w:pPr>
    <w:r w:rsidRPr="00FB14E4">
      <w:rPr>
        <w:rFonts w:ascii="Arial" w:hAnsi="Arial" w:cs="Arial"/>
        <w:sz w:val="18"/>
      </w:rPr>
      <w:t xml:space="preserve">Page </w:t>
    </w:r>
    <w:r w:rsidRPr="00FB14E4">
      <w:rPr>
        <w:rFonts w:ascii="Arial" w:hAnsi="Arial" w:cs="Arial"/>
        <w:sz w:val="18"/>
      </w:rPr>
      <w:fldChar w:fldCharType="begin"/>
    </w:r>
    <w:r w:rsidRPr="00FB14E4">
      <w:rPr>
        <w:rFonts w:ascii="Arial" w:hAnsi="Arial" w:cs="Arial"/>
        <w:sz w:val="18"/>
      </w:rPr>
      <w:instrText xml:space="preserve"> PAGE  \* Arabic  \* MERGEFORMAT </w:instrText>
    </w:r>
    <w:r w:rsidRPr="00FB14E4">
      <w:rPr>
        <w:rFonts w:ascii="Arial" w:hAnsi="Arial" w:cs="Arial"/>
        <w:sz w:val="18"/>
      </w:rPr>
      <w:fldChar w:fldCharType="separate"/>
    </w:r>
    <w:r w:rsidR="00223C86">
      <w:rPr>
        <w:rFonts w:ascii="Arial" w:hAnsi="Arial" w:cs="Arial"/>
        <w:noProof/>
        <w:sz w:val="18"/>
      </w:rPr>
      <w:t>1</w:t>
    </w:r>
    <w:r w:rsidRPr="00FB14E4">
      <w:rPr>
        <w:rFonts w:ascii="Arial" w:hAnsi="Arial" w:cs="Arial"/>
        <w:sz w:val="18"/>
      </w:rPr>
      <w:fldChar w:fldCharType="end"/>
    </w:r>
    <w:r w:rsidRPr="00FB14E4">
      <w:rPr>
        <w:rFonts w:ascii="Arial" w:hAnsi="Arial" w:cs="Arial"/>
        <w:sz w:val="18"/>
      </w:rPr>
      <w:t xml:space="preserve"> of </w:t>
    </w:r>
    <w:r w:rsidR="00396D53">
      <w:rPr>
        <w:rFonts w:ascii="Arial" w:hAnsi="Arial" w:cs="Arial"/>
        <w:sz w:val="18"/>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6F"/>
    <w:rsid w:val="00071B8C"/>
    <w:rsid w:val="000E7B9F"/>
    <w:rsid w:val="0019001B"/>
    <w:rsid w:val="001D7924"/>
    <w:rsid w:val="00200A03"/>
    <w:rsid w:val="00223C86"/>
    <w:rsid w:val="0022765E"/>
    <w:rsid w:val="002E72A8"/>
    <w:rsid w:val="0030189C"/>
    <w:rsid w:val="003734EE"/>
    <w:rsid w:val="00396D53"/>
    <w:rsid w:val="004064AD"/>
    <w:rsid w:val="0041087A"/>
    <w:rsid w:val="0041143F"/>
    <w:rsid w:val="00471CEF"/>
    <w:rsid w:val="004E6177"/>
    <w:rsid w:val="004F512A"/>
    <w:rsid w:val="00540874"/>
    <w:rsid w:val="0056328F"/>
    <w:rsid w:val="005832CC"/>
    <w:rsid w:val="00584C2B"/>
    <w:rsid w:val="005B7DE7"/>
    <w:rsid w:val="005C3F6F"/>
    <w:rsid w:val="005C4634"/>
    <w:rsid w:val="006041F0"/>
    <w:rsid w:val="00617ABC"/>
    <w:rsid w:val="00626C5E"/>
    <w:rsid w:val="00654AF7"/>
    <w:rsid w:val="0067676D"/>
    <w:rsid w:val="006A691B"/>
    <w:rsid w:val="006B5364"/>
    <w:rsid w:val="006B6D07"/>
    <w:rsid w:val="007670C2"/>
    <w:rsid w:val="007A4549"/>
    <w:rsid w:val="007D57A0"/>
    <w:rsid w:val="007D65C1"/>
    <w:rsid w:val="00883E10"/>
    <w:rsid w:val="00894583"/>
    <w:rsid w:val="008B2DD1"/>
    <w:rsid w:val="0097199D"/>
    <w:rsid w:val="00971F31"/>
    <w:rsid w:val="009B786F"/>
    <w:rsid w:val="009D0DC5"/>
    <w:rsid w:val="009F4A09"/>
    <w:rsid w:val="00A24D24"/>
    <w:rsid w:val="00A2689D"/>
    <w:rsid w:val="00AE09CE"/>
    <w:rsid w:val="00BC1192"/>
    <w:rsid w:val="00BD52A1"/>
    <w:rsid w:val="00C82E58"/>
    <w:rsid w:val="00DD1CA0"/>
    <w:rsid w:val="00E94456"/>
    <w:rsid w:val="00EB062C"/>
    <w:rsid w:val="00EC5DD6"/>
    <w:rsid w:val="00EE3720"/>
    <w:rsid w:val="00F51C3E"/>
    <w:rsid w:val="00FB7E3F"/>
    <w:rsid w:val="00FE02FE"/>
    <w:rsid w:val="00FF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C90B383-419B-4D44-A55A-04AD5BBD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5E"/>
  </w:style>
  <w:style w:type="paragraph" w:styleId="Footer">
    <w:name w:val="footer"/>
    <w:basedOn w:val="Normal"/>
    <w:link w:val="FooterChar"/>
    <w:uiPriority w:val="99"/>
    <w:unhideWhenUsed/>
    <w:rsid w:val="0022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5E"/>
  </w:style>
  <w:style w:type="character" w:styleId="Hyperlink">
    <w:name w:val="Hyperlink"/>
    <w:basedOn w:val="DefaultParagraphFont"/>
    <w:uiPriority w:val="99"/>
    <w:unhideWhenUsed/>
    <w:rsid w:val="007A4549"/>
    <w:rPr>
      <w:color w:val="0000FF" w:themeColor="hyperlink"/>
      <w:u w:val="single"/>
    </w:rPr>
  </w:style>
  <w:style w:type="paragraph" w:customStyle="1" w:styleId="Default">
    <w:name w:val="Default"/>
    <w:rsid w:val="00A24D2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2527-E5E0-43CE-86B0-0AA5DBA1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Salazar-Barnes, Christina L</cp:lastModifiedBy>
  <cp:revision>8</cp:revision>
  <cp:lastPrinted>2018-09-10T19:54:00Z</cp:lastPrinted>
  <dcterms:created xsi:type="dcterms:W3CDTF">2018-08-29T15:11:00Z</dcterms:created>
  <dcterms:modified xsi:type="dcterms:W3CDTF">2018-09-11T14:51:00Z</dcterms:modified>
</cp:coreProperties>
</file>